
<file path=[Content_Types].xml><?xml version="1.0" encoding="utf-8"?>
<Types xmlns="http://schemas.openxmlformats.org/package/2006/content-types">
  <Default Extension="rels" ContentType="application/vnd.openxmlformats-package.relationships+xml"/>
  <Default Extension="xml" ContentType="application/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Relationships xmlns="http://schemas.openxmlformats.org/package/2006/relationships"><Relationship Id="rId0" Type="http://schemas.openxmlformats.org/officeDocument/2006/relationships/officeDocument" Target="word/document.xml" /><Relationship Id="rId1" Type="http://schemas.openxmlformats.org/package/2006/relationships/metadata/core-properties" Target="docProps/core.xml" /><Relationship Id="rId2" Type="http://schemas.openxmlformats.org/officeDocument/2006/relationships/extended-properties" Target="docProps/app.xml" /></Relationships>
</file>

<file path=word/document.xml><?xml version="1.0" encoding="utf-8"?>
<w:document xmlns:w="http://schemas.openxmlformats.org/wordprocessingml/2006/main" xmlns:w14="http://schemas.microsoft.com/office/word/2010/wordml" xmlns:mc="http://schemas.openxmlformats.org/markup-compatibility/2006" mc:Ignorable="w14">
  <w:body>
    <w:p w14:paraId="5E1249B9">
      <w:pPr>
        <w:pStyle w:val="000004"/>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720" w:lineRule="atLeast"/>
        <w:ind w:left="0" w:right="0" w:firstLine="0"/>
        <w:jc w:val="center"/>
        <w:rPr>
          <w:rFonts w:hint="eastAsia" w:ascii="黑体" w:hAnsi="黑体" w:eastAsia="黑体" w:cs="黑体"/>
          <w:b w:val="1"/>
          <w:bCs w:val="1"/>
          <w:i w:val="0"/>
          <w:iCs w:val="0"/>
          <w:caps w:val="0"/>
          <w:color w:val="000000"/>
          <w:spacing w:val="0"/>
          <w:sz w:val="33"/>
          <w:szCs w:val="33"/>
        </w:rPr>
      </w:pPr>
      <w:r>
        <w:rPr>
          <w:rFonts w:hint="eastAsia" w:ascii="黑体" w:hAnsi="黑体" w:eastAsia="黑体" w:cs="黑体"/>
          <w:b w:val="1"/>
          <w:bCs w:val="1"/>
          <w:i w:val="0"/>
          <w:iCs w:val="0"/>
          <w:caps w:val="0"/>
          <w:color w:val="000000"/>
          <w:spacing w:val="0"/>
          <w:sz w:val="33"/>
          <w:szCs w:val="33"/>
          <w:shd w:val="clear" w:color="auto" w:fill="ffffff"/>
        </w:rPr>
        <w:t>关于开展2026年同等学力申请硕士学位人员申请进入论文阶段相关工作的通知</w:t>
      </w:r>
    </w:p>
    <w:p w14:paraId="1C003C5A">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各</w:t>
      </w:r>
      <w:r>
        <w:rPr>
          <w:rFonts w:hint="eastAsia" w:ascii="仿宋_gb2312" w:hAnsi="仿宋_gb2312" w:eastAsia="仿宋_gb2312" w:cs="仿宋_gb2312"/>
          <w:i w:val="0"/>
          <w:iCs w:val="0"/>
          <w:caps w:val="0"/>
          <w:color w:val="2a2f35"/>
          <w:spacing w:val="0"/>
          <w:sz w:val="28"/>
          <w:szCs w:val="28"/>
          <w:shd w:val="clear" w:color="auto" w:fill="ffffff"/>
          <w:lang w:eastAsia="zh-CN"/>
        </w:rPr>
        <w:t>位导师</w:t>
      </w:r>
      <w:r>
        <w:rPr>
          <w:rFonts w:hint="eastAsia" w:ascii="仿宋_gb2312" w:hAnsi="仿宋_gb2312" w:eastAsia="仿宋_gb2312" w:cs="仿宋_gb2312"/>
          <w:i w:val="0"/>
          <w:iCs w:val="0"/>
          <w:caps w:val="0"/>
          <w:color w:val="2a2f35"/>
          <w:spacing w:val="0"/>
          <w:sz w:val="28"/>
          <w:szCs w:val="28"/>
          <w:shd w:val="clear" w:color="auto" w:fill="ffffff"/>
        </w:rPr>
        <w:t>、同等学力申请硕士学位人员：</w:t>
      </w:r>
    </w:p>
    <w:p w14:paraId="36AC9D31">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同等学力申请硕士学位人员申请进入论文阶段工作已经开始，现将有关事项通知如下：</w:t>
      </w:r>
    </w:p>
    <w:p w14:paraId="0A2575AC">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一、申请条件</w:t>
      </w:r>
    </w:p>
    <w:p w14:paraId="6F125FCE">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1.已经修完所申请硕士学位培养方案要求的所有课程且满足学分要求；</w:t>
      </w:r>
    </w:p>
    <w:p w14:paraId="5BECA10D">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2.已经通过全国统一的外国语水平考试和学科综合水平考试。</w:t>
      </w:r>
    </w:p>
    <w:p w14:paraId="64364CB2">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二、申请人需要提交的材料</w:t>
      </w:r>
    </w:p>
    <w:p w14:paraId="24ABE2C5">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1.《南通大学以研究生毕业同等学力申请硕士学位资格审查表》（附件1）。</w:t>
      </w:r>
    </w:p>
    <w:p w14:paraId="6F5D964E">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rFonts w:hint="eastAsia" w:ascii="仿宋_gb2312" w:hAnsi="仿宋_gb2312" w:eastAsia="仿宋_gb2312" w:cs="仿宋_gb2312"/>
          <w:i w:val="0"/>
          <w:iCs w:val="0"/>
          <w:caps w:val="0"/>
          <w:color w:val="2a2f35"/>
          <w:spacing w:val="0"/>
          <w:sz w:val="28"/>
          <w:szCs w:val="28"/>
          <w:shd w:val="clear" w:color="auto" w:fill="ffffff"/>
          <w:lang w:val="en-US" w:eastAsia="zh-CN"/>
        </w:rPr>
      </w:pPr>
      <w:r>
        <w:rPr>
          <w:rFonts w:hint="eastAsia" w:ascii="仿宋_gb2312" w:hAnsi="仿宋_gb2312" w:eastAsia="仿宋_gb2312" w:cs="仿宋_gb2312"/>
          <w:i w:val="0"/>
          <w:iCs w:val="0"/>
          <w:caps w:val="0"/>
          <w:color w:val="2a2f35"/>
          <w:spacing w:val="0"/>
          <w:sz w:val="28"/>
          <w:szCs w:val="28"/>
          <w:shd w:val="clear" w:color="auto" w:fill="ffffff"/>
        </w:rPr>
        <w:t xml:space="preserve">2.外国语水平考试和学科综合水平考试合格日期及合格编号的网上查询打印件(成绩查询网址: </w:t>
      </w:r>
      <w:r>
        <w:rPr>
          <w:rFonts w:ascii="仿宋_gb2312" w:hAnsi="仿宋_gb2312" w:eastAsia="仿宋_gb2312" w:cs="仿宋_gb2312"/>
          <w:i w:val="0"/>
          <w:iCs w:val="0"/>
          <w:caps w:val="0"/>
          <w:color w:val="2a2f35"/>
          <w:spacing w:val="0"/>
          <w:sz w:val="28"/>
          <w:szCs w:val="28"/>
          <w:shd w:val="clear" w:color="auto" w:fill="ffffff"/>
        </w:rPr>
        <w:fldChar w:fldCharType="begin"/>
      </w:r>
      <w:r>
        <w:rPr>
          <w:rFonts w:hint="eastAsia" w:ascii="仿宋_gb2312" w:hAnsi="仿宋_gb2312" w:eastAsia="仿宋_gb2312" w:cs="仿宋_gb2312"/>
          <w:i w:val="0"/>
          <w:iCs w:val="0"/>
          <w:caps w:val="0"/>
          <w:color w:val="2a2f35"/>
          <w:spacing w:val="0"/>
          <w:sz w:val="28"/>
          <w:szCs w:val="28"/>
          <w:shd w:val="clear" w:color="auto" w:fill="ffffff"/>
        </w:rPr>
        <w:instrText xml:space="preserve"> HYPERLINK "https://tdxl.chsi.com.cn/tdxlsqxt/index.html)。" </w:instrText>
      </w:r>
      <w:r>
        <w:rPr>
          <w:rFonts w:ascii="仿宋_gb2312" w:hAnsi="仿宋_gb2312" w:eastAsia="仿宋_gb2312" w:cs="仿宋_gb2312"/>
          <w:i w:val="0"/>
          <w:iCs w:val="0"/>
          <w:caps w:val="0"/>
          <w:color w:val="2a2f35"/>
          <w:spacing w:val="0"/>
          <w:sz w:val="28"/>
          <w:szCs w:val="28"/>
          <w:shd w:val="clear" w:color="auto" w:fill="ffffff"/>
        </w:rPr>
        <w:fldChar w:fldCharType="separate"/>
      </w:r>
      <w:r>
        <w:rPr>
          <w:rStyle w:val="000001"/>
          <w:rFonts w:hint="eastAsia" w:ascii="仿宋_gb2312" w:hAnsi="仿宋_gb2312" w:eastAsia="仿宋_gb2312" w:cs="仿宋_gb2312"/>
          <w:i w:val="0"/>
          <w:iCs w:val="0"/>
          <w:caps w:val="0"/>
          <w:spacing w:val="0"/>
          <w:sz w:val="28"/>
          <w:szCs w:val="28"/>
          <w:shd w:val="clear" w:color="auto" w:fill="ffffff"/>
        </w:rPr>
        <w:t>https://tdxl.chsi.com.cn/tdxlsqxt/index.html)。</w:t>
      </w:r>
      <w:r>
        <w:rPr>
          <w:rFonts w:ascii="仿宋_gb2312" w:hAnsi="仿宋_gb2312" w:eastAsia="仿宋_gb2312" w:cs="仿宋_gb2312"/>
          <w:i w:val="0"/>
          <w:iCs w:val="0"/>
          <w:caps w:val="0"/>
          <w:color w:val="2a2f35"/>
          <w:spacing w:val="0"/>
          <w:sz w:val="28"/>
          <w:szCs w:val="28"/>
          <w:shd w:val="clear" w:color="auto" w:fill="ffffff"/>
        </w:rPr>
        <w:fldChar w:fldCharType="end"/>
      </w:r>
      <w:r>
        <w:rPr>
          <w:rFonts w:hint="eastAsia" w:ascii="仿宋_gb2312" w:hAnsi="仿宋_gb2312" w:eastAsia="仿宋_gb2312" w:cs="仿宋_gb2312"/>
          <w:i w:val="0"/>
          <w:iCs w:val="0"/>
          <w:caps w:val="0"/>
          <w:color w:val="2a2f35"/>
          <w:spacing w:val="0"/>
          <w:sz w:val="28"/>
          <w:szCs w:val="28"/>
          <w:shd w:val="clear" w:color="auto" w:fill="ffffff"/>
          <w:lang w:val="en-US" w:eastAsia="zh-CN"/>
        </w:rPr>
        <w:t>)</w:t>
      </w:r>
    </w:p>
    <w:p w14:paraId="3CCB08C2">
      <w:pPr>
        <w:pStyle w:val="000005"/>
        <w:keepNext w:val="0"/>
        <w:keepLines w:val="0"/>
        <w:widowControl w:val="1"/>
        <w:numPr>
          <w:ilvl w:val="0"/>
          <w:numId w:val="1"/>
        </w:numPr>
        <w:suppressLineNumbers w:val="0"/>
        <w:pBdr>
          <w:left w:val="none" w:color="000000" w:sz="0" w:space="0"/>
          <w:right w:val="none" w:color="000000" w:sz="0" w:space="0"/>
        </w:pBdr>
        <w:shd w:val="clear" w:color="auto" w:fill="ffffff"/>
        <w:spacing w:before="0" w:beforeAutospacing="0" w:after="0" w:afterAutospacing="0" w:line="315" w:lineRule="atLeast"/>
        <w:rPr>
          <w:rFonts w:hint="eastAsia" w:ascii="仿宋_gb2312" w:hAnsi="仿宋_gb2312" w:eastAsia="仿宋_gb2312" w:cs="仿宋_gb2312"/>
          <w:i w:val="0"/>
          <w:iCs w:val="0"/>
          <w:caps w:val="0"/>
          <w:color w:val="2a2f35"/>
          <w:spacing w:val="0"/>
          <w:sz w:val="28"/>
          <w:szCs w:val="28"/>
          <w:shd w:val="clear" w:color="auto" w:fill="ffffff"/>
          <w:lang w:val="en-US" w:eastAsia="zh-CN"/>
        </w:rPr>
      </w:pPr>
      <w:r>
        <w:rPr>
          <w:rFonts w:hint="eastAsia" w:ascii="仿宋_gb2312" w:hAnsi="仿宋_gb2312" w:eastAsia="仿宋_gb2312" w:cs="仿宋_gb2312"/>
          <w:i w:val="0"/>
          <w:iCs w:val="0"/>
          <w:caps w:val="0"/>
          <w:color w:val="2a2f35"/>
          <w:spacing w:val="0"/>
          <w:sz w:val="28"/>
          <w:szCs w:val="28"/>
          <w:shd w:val="clear" w:color="auto" w:fill="ffffff"/>
          <w:lang w:val="en-US" w:eastAsia="zh-CN"/>
        </w:rPr>
        <w:t>课程阶段已缴费凭证。</w:t>
      </w:r>
    </w:p>
    <w:p w14:paraId="08726755">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三、申请工作安排</w:t>
      </w:r>
    </w:p>
    <w:p w14:paraId="7AEE2909">
      <w:pPr>
        <w:pStyle w:val="000005"/>
        <w:keepNext w:val="0"/>
        <w:keepLines w:val="0"/>
        <w:widowControl w:val="1"/>
        <w:suppressLineNumbers w:val="0"/>
        <w:pBdr>
          <w:left w:val="none" w:color="000000" w:sz="0" w:space="0"/>
          <w:right w:val="none" w:color="000000" w:sz="0" w:space="0"/>
        </w:pBdr>
        <w:shd w:val="clear" w:color="auto" w:fill="ffffff"/>
        <w:spacing w:before="0" w:beforeAutospacing="0" w:after="0" w:afterAutospacing="0" w:line="315" w:lineRule="atLeast"/>
        <w:ind w:left="336"/>
        <w:rPr>
          <w:rFonts w:hint="eastAsia" w:ascii="仿宋_gb2312" w:hAnsi="仿宋_gb2312" w:eastAsia="仿宋_gb2312" w:cs="仿宋_gb2312"/>
          <w:i w:val="0"/>
          <w:iCs w:val="0"/>
          <w:caps w:val="0"/>
          <w:color w:val="2a2f35"/>
          <w:spacing w:val="0"/>
          <w:sz w:val="28"/>
          <w:szCs w:val="28"/>
          <w:shd w:val="clear" w:color="auto" w:fill="ffffff"/>
          <w:lang w:val="en-US" w:eastAsia="zh-CN"/>
        </w:rPr>
      </w:pPr>
      <w:r>
        <w:rPr>
          <w:rFonts w:hint="eastAsia" w:ascii="仿宋_gb2312" w:hAnsi="仿宋_gb2312" w:eastAsia="仿宋_gb2312" w:cs="仿宋_gb2312"/>
          <w:i w:val="0"/>
          <w:iCs w:val="0"/>
          <w:caps w:val="0"/>
          <w:color w:val="2a2f35"/>
          <w:spacing w:val="0"/>
          <w:sz w:val="28"/>
          <w:szCs w:val="28"/>
          <w:shd w:val="clear" w:color="auto" w:fill="ffffff"/>
          <w:lang w:val="en-US" w:eastAsia="zh-CN"/>
        </w:rPr>
        <w:t xml:space="preserve">  1. 9月14-23日申请人提交材料，核对信息。</w:t>
      </w:r>
    </w:p>
    <w:p w14:paraId="01D94E5F">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336"/>
        <w:rPr>
          <w:rFonts w:hint="eastAsia" w:ascii="仿宋_gb2312" w:hAnsi="仿宋_gb2312" w:eastAsia="仿宋_gb2312" w:cs="仿宋_gb2312"/>
          <w:i w:val="0"/>
          <w:iCs w:val="0"/>
          <w:caps w:val="0"/>
          <w:color w:val="2a2f35"/>
          <w:spacing w:val="0"/>
          <w:sz w:val="28"/>
          <w:szCs w:val="28"/>
          <w:shd w:val="clear" w:color="auto" w:fill="ffffff"/>
          <w:lang w:val="en-US" w:eastAsia="zh-CN"/>
        </w:rPr>
      </w:pPr>
      <w:r>
        <w:rPr>
          <w:rFonts w:hint="eastAsia" w:ascii="仿宋_gb2312" w:hAnsi="仿宋_gb2312" w:eastAsia="仿宋_gb2312" w:cs="仿宋_gb2312"/>
          <w:i w:val="0"/>
          <w:iCs w:val="0"/>
          <w:caps w:val="0"/>
          <w:color w:val="2a2f35"/>
          <w:spacing w:val="0"/>
          <w:sz w:val="28"/>
          <w:szCs w:val="28"/>
          <w:shd w:val="clear" w:color="auto" w:fill="ffffff"/>
          <w:lang w:val="en-US" w:eastAsia="zh-CN"/>
        </w:rPr>
        <w:t xml:space="preserve">    所有拟申请2026年同等学力申请硕士学位人员进入论文阶段的人员需于2026年9月23日前将所需材料纸质版提交至南通大学啬园校区38-1025办公室徐老师，联系电话0513-55003212。9月20日上午9:00-11:30安排集中受理</w:t>
      </w:r>
    </w:p>
    <w:p w14:paraId="755B45DB">
      <w:pPr>
        <w:pStyle w:val="000005"/>
        <w:keepNext w:val="0"/>
        <w:keepLines w:val="0"/>
        <w:widowControl w:val="1"/>
        <w:suppressLineNumbers w:val="0"/>
        <w:pBdr>
          <w:left w:val="none" w:color="000000" w:sz="0" w:space="0"/>
          <w:right w:val="none" w:color="000000" w:sz="0" w:space="0"/>
        </w:pBdr>
        <w:shd w:val="clear" w:color="auto" w:fill="ffffff"/>
        <w:tabs>
          <w:tab w:val="clear" w:pos="312"/>
        </w:tabs>
        <w:spacing w:before="0" w:beforeAutospacing="0" w:after="0" w:afterAutospacing="0" w:line="315" w:lineRule="atLeast"/>
        <w:ind w:left="336"/>
        <w:rPr>
          <w:rFonts w:hint="eastAsia" w:ascii="仿宋_gb2312" w:hAnsi="仿宋_gb2312" w:eastAsia="仿宋_gb2312" w:cs="仿宋_gb2312"/>
          <w:i w:val="0"/>
          <w:iCs w:val="0"/>
          <w:caps w:val="0"/>
          <w:color w:val="2a2f35"/>
          <w:spacing w:val="0"/>
          <w:sz w:val="28"/>
          <w:szCs w:val="28"/>
          <w:shd w:val="clear" w:color="auto" w:fill="ffffff"/>
        </w:rPr>
      </w:pPr>
      <w:r>
        <w:rPr>
          <w:rFonts w:hint="eastAsia" w:ascii="仿宋_gb2312" w:hAnsi="仿宋_gb2312" w:eastAsia="仿宋_gb2312" w:cs="仿宋_gb2312"/>
          <w:i w:val="0"/>
          <w:iCs w:val="0"/>
          <w:caps w:val="0"/>
          <w:color w:val="2a2f35"/>
          <w:spacing w:val="0"/>
          <w:sz w:val="28"/>
          <w:szCs w:val="28"/>
          <w:shd w:val="clear" w:color="auto" w:fill="ffffff"/>
        </w:rPr>
        <w:t xml:space="preserve"> 2. 9月24-25日 学院组织资格审核工作 </w:t>
      </w:r>
    </w:p>
    <w:p w14:paraId="3C497F38">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tabs>
          <w:tab w:val="clear" w:pos="312"/>
        </w:tabs>
        <w:spacing w:before="0" w:beforeAutospacing="0" w:after="0" w:afterAutospacing="0" w:line="315" w:lineRule="atLeast"/>
        <w:ind w:left="336"/>
        <w:rPr>
          <w:rFonts w:ascii="仿宋_gb2312" w:hAnsi="仿宋_gb2312" w:eastAsia="仿宋_gb2312" w:cs="仿宋_gb2312"/>
          <w:i w:val="0"/>
          <w:iCs w:val="0"/>
          <w:caps w:val="0"/>
          <w:color w:val="2a2f35"/>
          <w:spacing w:val="0"/>
          <w:sz w:val="28"/>
          <w:szCs w:val="28"/>
          <w:shd w:val="clear" w:color="auto" w:fill="ffffff"/>
        </w:rPr>
      </w:pPr>
      <w:r>
        <w:rPr>
          <w:rFonts w:hint="eastAsia" w:ascii="仿宋_gb2312" w:hAnsi="仿宋_gb2312" w:eastAsia="仿宋_gb2312" w:cs="仿宋_gb2312"/>
          <w:i w:val="0"/>
          <w:iCs w:val="0"/>
          <w:caps w:val="0"/>
          <w:color w:val="2a2f35"/>
          <w:spacing w:val="0"/>
          <w:sz w:val="28"/>
          <w:szCs w:val="28"/>
          <w:shd w:val="clear" w:color="auto" w:fill="ffffff"/>
        </w:rPr>
        <w:t>学院</w:t>
      </w:r>
      <w:r>
        <w:rPr>
          <w:rFonts w:hint="eastAsia" w:ascii="仿宋_gb2312" w:hAnsi="仿宋_gb2312" w:eastAsia="仿宋_gb2312" w:cs="仿宋_gb2312"/>
          <w:i w:val="0"/>
          <w:iCs w:val="0"/>
          <w:caps w:val="0"/>
          <w:color w:val="2a2f35"/>
          <w:spacing w:val="0"/>
          <w:sz w:val="28"/>
          <w:szCs w:val="28"/>
          <w:shd w:val="clear" w:color="auto" w:fill="ffffff"/>
        </w:rPr>
        <w:t>登录全国同等学力平台管理系统（网址：https://tdxl.chsi.com.cn/tdxlsqxt/admin.html）的</w:t>
      </w:r>
      <w:r>
        <w:rPr>
          <w:rFonts w:hint="eastAsia" w:ascii="仿宋_gb2312" w:hAnsi="仿宋_gb2312" w:eastAsia="仿宋_gb2312" w:cs="仿宋_gb2312"/>
          <w:i w:val="0"/>
          <w:iCs w:val="0"/>
          <w:caps w:val="0"/>
          <w:color w:val="2a2f35"/>
          <w:spacing w:val="0"/>
          <w:sz w:val="28"/>
          <w:szCs w:val="28"/>
          <w:shd w:val="clear" w:color="auto" w:fill="ffffff"/>
        </w:rPr>
        <w:t>“</w:t>
      </w:r>
      <w:r>
        <w:rPr>
          <w:rFonts w:hint="eastAsia" w:ascii="仿宋_gb2312" w:hAnsi="仿宋_gb2312" w:eastAsia="仿宋_gb2312" w:cs="仿宋_gb2312"/>
          <w:i w:val="0"/>
          <w:iCs w:val="0"/>
          <w:caps w:val="0"/>
          <w:color w:val="2a2f35"/>
          <w:spacing w:val="0"/>
          <w:sz w:val="28"/>
          <w:szCs w:val="28"/>
          <w:shd w:val="clear" w:color="auto" w:fill="ffffff"/>
        </w:rPr>
        <w:t>统考报名管理”中“查看在册人员名单”，对申请人员专业名称、专业代码、学位类型、资格审核日期、合格编号等所有信息进行审核。</w:t>
      </w:r>
    </w:p>
    <w:p w14:paraId="1F1E1AEC">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3. 学院</w:t>
      </w:r>
      <w:r>
        <w:rPr>
          <w:rFonts w:hint="eastAsia" w:ascii="仿宋_gb2312" w:hAnsi="仿宋_gb2312" w:eastAsia="仿宋_gb2312" w:cs="仿宋_gb2312"/>
          <w:i w:val="0"/>
          <w:iCs w:val="0"/>
          <w:caps w:val="0"/>
          <w:color w:val="2a2f35"/>
          <w:spacing w:val="0"/>
          <w:sz w:val="28"/>
          <w:szCs w:val="28"/>
          <w:shd w:val="clear" w:color="auto" w:fill="ffffff"/>
        </w:rPr>
        <w:t>公示审核通过的名单。</w:t>
      </w:r>
    </w:p>
    <w:p w14:paraId="4E64BFA7">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注意：未通过材料审核、导师配备不符合学校规定、未按时缴纳学费的申请人不予进入论文阶段。</w:t>
      </w:r>
    </w:p>
    <w:p w14:paraId="669237F1">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四、其他</w:t>
      </w:r>
    </w:p>
    <w:p w14:paraId="77DBE6A8">
      <w:pPr>
        <w:pStyle w:val="000005"/>
        <w:keepNext w:val="0"/>
        <w:keepLines w:val="0"/>
        <w:widowControl w:val="1"/>
        <w:numPr>
          <w:ilvl w:val="0"/>
          <w:numId w:val="2"/>
        </w:numPr>
        <w:suppressLineNumbers w:val="0"/>
        <w:pBdr>
          <w:top w:val="none" w:color="000000" w:sz="0" w:space="0"/>
          <w:left w:val="none" w:color="000000" w:sz="0" w:space="0"/>
          <w:bottom/>
          <w:right w:val="none" w:color="000000" w:sz="0" w:space="0"/>
        </w:pBdr>
        <w:shd w:val="clear" w:color="auto" w:fill="ffffff"/>
        <w:spacing w:before="0" w:beforeAutospacing="0" w:after="0" w:afterAutospacing="0" w:line="315" w:lineRule="atLeast"/>
        <w:jc w:val="both"/>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 xml:space="preserve">   1</w:t>
      </w:r>
      <w:r>
        <w:rPr>
          <w:rFonts w:ascii="仿宋_gb2312" w:hAnsi="仿宋_gb2312" w:eastAsia="仿宋_gb2312" w:cs="仿宋_gb2312"/>
          <w:i w:val="0"/>
          <w:iCs w:val="0"/>
          <w:caps w:val="0"/>
          <w:color w:val="2a2f35"/>
          <w:spacing w:val="0"/>
          <w:sz w:val="28"/>
          <w:szCs w:val="28"/>
          <w:shd w:val="clear" w:color="auto" w:fill="ffffff"/>
        </w:rPr>
        <w:t>.</w:t>
      </w:r>
      <w:r>
        <w:rPr>
          <w:rFonts w:hint="eastAsia" w:ascii="仿宋_gb2312" w:hAnsi="仿宋_gb2312" w:eastAsia="仿宋_gb2312" w:cs="仿宋_gb2312"/>
          <w:i w:val="0"/>
          <w:iCs w:val="0"/>
          <w:caps w:val="0"/>
          <w:color w:val="2a2f35"/>
          <w:spacing w:val="0"/>
          <w:sz w:val="28"/>
          <w:szCs w:val="28"/>
          <w:shd w:val="clear" w:color="auto" w:fill="ffffff"/>
          <w:lang w:eastAsia="zh-CN"/>
        </w:rPr>
        <w:t>学院</w:t>
      </w:r>
      <w:r>
        <w:rPr>
          <w:rFonts w:hint="eastAsia" w:ascii="仿宋_gb2312" w:hAnsi="仿宋_gb2312" w:eastAsia="仿宋_gb2312" w:cs="仿宋_gb2312"/>
          <w:i w:val="0"/>
          <w:iCs w:val="0"/>
          <w:caps w:val="0"/>
          <w:color w:val="2a2f35"/>
          <w:spacing w:val="0"/>
          <w:sz w:val="28"/>
          <w:szCs w:val="28"/>
          <w:shd w:val="clear" w:color="auto" w:fill="ffffff"/>
        </w:rPr>
        <w:t>对审核通过的人员按照师生互选原则为其配备学位论文指导教师，</w:t>
      </w: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导师须具备2026年硕士研究生招生资格</w:t>
      </w:r>
      <w:r>
        <w:rPr>
          <w:rFonts w:hint="eastAsia" w:ascii="仿宋_gb2312" w:hAnsi="仿宋_gb2312" w:eastAsia="仿宋_gb2312" w:cs="仿宋_gb2312"/>
          <w:i w:val="0"/>
          <w:iCs w:val="0"/>
          <w:caps w:val="0"/>
          <w:color w:val="2a2f35"/>
          <w:spacing w:val="0"/>
          <w:sz w:val="28"/>
          <w:szCs w:val="28"/>
          <w:shd w:val="clear" w:color="auto" w:fill="ffffff"/>
        </w:rPr>
        <w:t>。</w:t>
      </w:r>
    </w:p>
    <w:p w14:paraId="0292F244">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 xml:space="preserve"> 2</w:t>
      </w:r>
      <w:r>
        <w:rPr>
          <w:rFonts w:hint="eastAsia" w:ascii="仿宋_gb2312" w:hAnsi="仿宋_gb2312" w:eastAsia="仿宋_gb2312" w:cs="仿宋_gb2312"/>
          <w:i w:val="0"/>
          <w:iCs w:val="0"/>
          <w:caps w:val="0"/>
          <w:color w:val="2a2f35"/>
          <w:spacing w:val="0"/>
          <w:sz w:val="28"/>
          <w:szCs w:val="28"/>
          <w:shd w:val="clear" w:color="auto" w:fill="ffffff"/>
        </w:rPr>
        <w:t>.同等学力人员学位论文选题、开题工作及要求与全日制研究生相同，申请硕士学位科研成果须达到学校相关文件的要求。</w:t>
      </w:r>
    </w:p>
    <w:p w14:paraId="563F7C70">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hint="eastAsia" w:ascii="仿宋_gb2312" w:hAnsi="仿宋_gb2312" w:eastAsia="仿宋_gb2312" w:cs="仿宋_gb2312"/>
          <w:i w:val="0"/>
          <w:iCs w:val="0"/>
          <w:caps w:val="0"/>
          <w:color w:val="2a2f35"/>
          <w:spacing w:val="0"/>
          <w:sz w:val="28"/>
          <w:szCs w:val="28"/>
          <w:shd w:val="clear" w:color="auto" w:fill="ffffff"/>
        </w:rPr>
        <w:t xml:space="preserve"> 3</w:t>
      </w:r>
      <w:r>
        <w:rPr>
          <w:rFonts w:hint="eastAsia" w:ascii="仿宋_gb2312" w:hAnsi="仿宋_gb2312" w:eastAsia="仿宋_gb2312" w:cs="仿宋_gb2312"/>
          <w:i w:val="0"/>
          <w:iCs w:val="0"/>
          <w:caps w:val="0"/>
          <w:color w:val="2a2f35"/>
          <w:spacing w:val="0"/>
          <w:sz w:val="28"/>
          <w:szCs w:val="28"/>
          <w:shd w:val="clear" w:color="auto" w:fill="ffffff"/>
        </w:rPr>
        <w:t>.根据《</w:t>
      </w:r>
      <w:r>
        <w:rPr>
          <w:rFonts w:hint="eastAsia" w:ascii="仿宋" w:hAnsi="仿宋" w:eastAsia="仿宋" w:cs="仿宋"/>
          <w:i w:val="0"/>
          <w:iCs w:val="0"/>
          <w:caps w:val="0"/>
          <w:color w:val="333333"/>
          <w:spacing w:val="0"/>
          <w:sz w:val="32"/>
          <w:szCs w:val="32"/>
          <w:shd w:val="clear" w:fill="FFFFFF"/>
        </w:rPr>
        <w:t>南通大学关于授予具有研究生毕业同等学力人员</w:t>
      </w:r>
      <w:r>
        <w:rPr>
          <w:rFonts w:hint="eastAsia" w:ascii="仿宋" w:hAnsi="仿宋" w:eastAsia="仿宋" w:cs="仿宋"/>
          <w:i w:val="0"/>
          <w:iCs w:val="0"/>
          <w:caps w:val="0"/>
          <w:color w:val="333333"/>
          <w:spacing w:val="0"/>
          <w:sz w:val="32"/>
          <w:szCs w:val="32"/>
          <w:shd w:val="clear" w:fill="FFFFFF"/>
          <w:lang w:val="en-US" w:eastAsia="zh-CN"/>
        </w:rPr>
        <w:t>博士、</w:t>
      </w:r>
      <w:r>
        <w:rPr>
          <w:rFonts w:hint="eastAsia" w:ascii="仿宋" w:hAnsi="仿宋" w:eastAsia="仿宋" w:cs="仿宋"/>
          <w:i w:val="0"/>
          <w:iCs w:val="0"/>
          <w:caps w:val="0"/>
          <w:color w:val="333333"/>
          <w:spacing w:val="0"/>
          <w:sz w:val="32"/>
          <w:szCs w:val="32"/>
          <w:shd w:val="clear" w:fill="FFFFFF"/>
        </w:rPr>
        <w:t>硕士学位工作</w:t>
      </w:r>
      <w:r>
        <w:rPr>
          <w:rFonts w:hint="eastAsia" w:ascii="仿宋" w:hAnsi="仿宋" w:eastAsia="仿宋" w:cs="仿宋"/>
          <w:i w:val="0"/>
          <w:iCs w:val="0"/>
          <w:caps w:val="0"/>
          <w:color w:val="333333"/>
          <w:spacing w:val="0"/>
          <w:sz w:val="32"/>
          <w:szCs w:val="32"/>
          <w:shd w:val="clear" w:fill="FFFFFF"/>
          <w:lang w:val="en-US" w:eastAsia="zh-CN"/>
        </w:rPr>
        <w:t>管理办法</w:t>
      </w:r>
      <w:r>
        <w:rPr>
          <w:rFonts w:hint="eastAsia" w:ascii="仿宋_gb2312" w:hAnsi="仿宋_gb2312" w:eastAsia="仿宋_gb2312" w:cs="仿宋_gb2312"/>
          <w:i w:val="0"/>
          <w:iCs w:val="0"/>
          <w:caps w:val="0"/>
          <w:color w:val="2a2f35"/>
          <w:spacing w:val="0"/>
          <w:sz w:val="28"/>
          <w:szCs w:val="28"/>
          <w:shd w:val="clear" w:color="auto" w:fill="ffffff"/>
        </w:rPr>
        <w:t>》（通大学位〔20</w:t>
      </w:r>
      <w:r>
        <w:rPr>
          <w:rFonts w:hint="eastAsia" w:ascii="仿宋_gb2312" w:hAnsi="仿宋_gb2312" w:eastAsia="仿宋_gb2312" w:cs="仿宋_gb2312"/>
          <w:i w:val="0"/>
          <w:iCs w:val="0"/>
          <w:caps w:val="0"/>
          <w:color w:val="2a2f35"/>
          <w:spacing w:val="0"/>
          <w:sz w:val="28"/>
          <w:szCs w:val="28"/>
          <w:shd w:val="clear" w:color="auto" w:fill="ffffff"/>
          <w:lang w:val="en-US" w:eastAsia="zh-CN"/>
        </w:rPr>
        <w:t>25</w:t>
      </w:r>
      <w:r>
        <w:rPr>
          <w:rFonts w:hint="eastAsia" w:ascii="仿宋_gb2312" w:hAnsi="仿宋_gb2312" w:eastAsia="仿宋_gb2312" w:cs="仿宋_gb2312"/>
          <w:i w:val="0"/>
          <w:iCs w:val="0"/>
          <w:caps w:val="0"/>
          <w:color w:val="2a2f35"/>
          <w:spacing w:val="0"/>
          <w:sz w:val="28"/>
          <w:szCs w:val="28"/>
          <w:shd w:val="clear" w:color="auto" w:fill="ffffff"/>
        </w:rPr>
        <w:t>〕27号）文件，申请人应在进入论文阶段四年内提交学位论文并通过论文答辩（含重新答辩）。</w:t>
      </w:r>
      <w:r>
        <w:rPr>
          <w:rStyle w:val="000007"/>
          <w:rFonts w:hint="eastAsia" w:ascii="仿宋_gb2312" w:hAnsi="仿宋_gb2312" w:eastAsia="仿宋_gb2312" w:cs="仿宋_gb2312"/>
          <w:b w:val="1"/>
          <w:bCs w:val="1"/>
          <w:i w:val="0"/>
          <w:iCs w:val="0"/>
          <w:caps w:val="0"/>
          <w:color w:val="2a2f35"/>
          <w:spacing w:val="0"/>
          <w:sz w:val="28"/>
          <w:szCs w:val="28"/>
          <w:shd w:val="clear" w:color="auto" w:fill="ffffff"/>
        </w:rPr>
        <w:t>逾期论文未完成、论文不合格、未举行论文答辩或论文答辩未通过者，学位申请资格失效。</w:t>
      </w:r>
    </w:p>
    <w:p w14:paraId="4CA56AD0">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315" w:lineRule="atLeast"/>
        <w:ind w:left="0" w:right="0" w:firstLine="555"/>
        <w:rPr>
          <w:color w:val="333333"/>
          <w:sz w:val="21"/>
          <w:szCs w:val="21"/>
        </w:rPr>
      </w:pPr>
      <w:r>
        <w:rPr>
          <w:rFonts w:ascii="仿宋_gb2312" w:hAnsi="仿宋_gb2312" w:eastAsia="仿宋_gb2312" w:cs="仿宋_gb2312"/>
          <w:i w:val="0"/>
          <w:iCs w:val="0"/>
          <w:caps w:val="0"/>
          <w:color w:val="2a2f35"/>
          <w:spacing w:val="0"/>
          <w:sz w:val="28"/>
          <w:szCs w:val="28"/>
          <w:shd w:val="clear" w:color="auto" w:fill="ffffff"/>
        </w:rPr>
        <w:t>                    </w:t>
      </w:r>
    </w:p>
    <w:p w14:paraId="2EF290EF">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26" w:lineRule="atLeast"/>
        <w:ind w:left="0" w:right="0" w:firstLine="555"/>
        <w:jc w:val="center"/>
        <w:rPr>
          <w:rFonts w:hint="eastAsia" w:eastAsia="仿宋_gb2312"/>
          <w:color w:val="333333"/>
          <w:sz w:val="21"/>
          <w:szCs w:val="21"/>
          <w:lang w:eastAsia="zh-CN"/>
        </w:rPr>
      </w:pPr>
      <w:r>
        <w:rPr>
          <w:rFonts w:ascii="仿宋_gb2312" w:hAnsi="仿宋_gb2312" w:eastAsia="仿宋_gb2312" w:cs="仿宋_gb2312"/>
          <w:i w:val="0"/>
          <w:iCs w:val="0"/>
          <w:caps w:val="0"/>
          <w:color w:val="2a2f35"/>
          <w:spacing w:val="0"/>
          <w:sz w:val="28"/>
          <w:szCs w:val="28"/>
          <w:shd w:val="clear" w:color="auto" w:fill="ffffff"/>
        </w:rPr>
        <w:t>                          </w:t>
      </w:r>
      <w:r>
        <w:rPr>
          <w:rFonts w:hint="eastAsia" w:ascii="仿宋_gb2312" w:hAnsi="仿宋_gb2312" w:eastAsia="仿宋_gb2312" w:cs="仿宋_gb2312"/>
          <w:i w:val="0"/>
          <w:iCs w:val="0"/>
          <w:caps w:val="0"/>
          <w:color w:val="2a2f35"/>
          <w:spacing w:val="0"/>
          <w:sz w:val="28"/>
          <w:szCs w:val="28"/>
          <w:shd w:val="clear" w:color="auto" w:fill="ffffff"/>
          <w:lang w:eastAsia="zh-CN"/>
        </w:rPr>
        <w:t>南通大学教育科学学院</w:t>
      </w:r>
    </w:p>
    <w:p w14:paraId="6727247A">
      <w:pPr>
        <w:pStyle w:val="000005"/>
        <w:keepNext w:val="0"/>
        <w:keepLines w:val="0"/>
        <w:widowControl w:val="1"/>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26" w:lineRule="atLeast"/>
        <w:ind w:left="0" w:right="0" w:firstLine="555"/>
        <w:jc w:val="center"/>
        <w:rPr>
          <w:color w:val="333333"/>
          <w:sz w:val="21"/>
          <w:szCs w:val="21"/>
        </w:rPr>
      </w:pPr>
      <w:r>
        <w:rPr>
          <w:rFonts w:ascii="仿宋_gb2312" w:hAnsi="仿宋_gb2312" w:eastAsia="仿宋_gb2312" w:cs="仿宋_gb2312"/>
          <w:i w:val="0"/>
          <w:iCs w:val="0"/>
          <w:caps w:val="0"/>
          <w:color w:val="2a2f35"/>
          <w:spacing w:val="0"/>
          <w:sz w:val="28"/>
          <w:szCs w:val="28"/>
          <w:shd w:val="clear" w:color="auto" w:fill="ffffff"/>
        </w:rPr>
        <w:t>                             202</w:t>
      </w:r>
      <w:r>
        <w:rPr>
          <w:rFonts w:hint="eastAsia" w:ascii="仿宋_gb2312" w:hAnsi="仿宋_gb2312" w:eastAsia="仿宋_gb2312" w:cs="仿宋_gb2312"/>
          <w:i w:val="0"/>
          <w:iCs w:val="0"/>
          <w:caps w:val="0"/>
          <w:color w:val="2a2f35"/>
          <w:spacing w:val="0"/>
          <w:sz w:val="28"/>
          <w:szCs w:val="28"/>
          <w:shd w:val="clear" w:color="auto" w:fill="ffffff"/>
        </w:rPr>
        <w:t>6年9月</w:t>
      </w:r>
      <w:r>
        <w:rPr>
          <w:rFonts w:hint="eastAsia" w:ascii="仿宋_gb2312" w:hAnsi="仿宋_gb2312" w:eastAsia="仿宋_gb2312" w:cs="仿宋_gb2312"/>
          <w:i w:val="0"/>
          <w:iCs w:val="0"/>
          <w:caps w:val="0"/>
          <w:color w:val="2a2f35"/>
          <w:spacing w:val="0"/>
          <w:sz w:val="28"/>
          <w:szCs w:val="28"/>
          <w:shd w:val="clear" w:color="auto" w:fill="ffffff"/>
          <w:lang w:val="en-US" w:eastAsia="zh-CN"/>
        </w:rPr>
        <w:t>14</w:t>
      </w:r>
      <w:r>
        <w:rPr>
          <w:rFonts w:hint="eastAsia" w:ascii="仿宋_gb2312" w:hAnsi="仿宋_gb2312" w:eastAsia="仿宋_gb2312" w:cs="仿宋_gb2312"/>
          <w:i w:val="0"/>
          <w:iCs w:val="0"/>
          <w:caps w:val="0"/>
          <w:color w:val="2a2f35"/>
          <w:spacing w:val="0"/>
          <w:sz w:val="28"/>
          <w:szCs w:val="28"/>
          <w:shd w:val="clear" w:color="auto" w:fill="ffffff"/>
        </w:rPr>
        <w:t>日</w:t>
      </w:r>
    </w:p>
    <w:sectPr>
      <w:type w:val="nextPage"/>
      <w:pgSz w:w="11906" w:h="16838"/>
      <w:pgMar w:top="1440" w:right="1800" w:bottom="1440" w:left="1800" w:header="851" w:footer="992" w:gutter="0"/>
      <w:docGrid w:type="lines" w:linePitch="312"/>
    </w:sectPr>
  </w:body>
</w:document>
</file>

<file path=word/fontTable.xml><?xml version="1.0" encoding="utf-8"?>
<w:fonts xmlns:w="http://schemas.openxmlformats.org/wordprocessingml/2006/main">
  <w:font w:name="Times New Roman">
    <w:panose1 w:val="02020603050405020304"/>
    <w:charset w:val="00" w:characterSet="ISO-8859-1"/>
    <w:family w:val="auto"/>
    <w:pitch w:val="default"/>
    <w:sig w:usb0="E0002AFF" w:usb1="C0007841" w:usb2="00000009" w:usb3="00000000" w:csb0="400001FF" w:csb1="FFFF0000"/>
  </w:font>
  <w:font w:name="仿宋_gb2312">
    <w:altName w:val="仿宋"/>
    <w:panose1 w:val="00000000000000000000"/>
    <w:charset w:val="00" w:characterSet="ISO-8859-1"/>
    <w:family w:val="auto"/>
    <w:pitch w:val="default"/>
    <w:sig w:usb0="00000000" w:usb1="00000000" w:usb2="00000000" w:usb3="00000000" w:csb0="00040001" w:csb1="00000000"/>
  </w:font>
  <w:font w:name="宋体">
    <w:panose1 w:val="02010600030101010101"/>
    <w:charset w:val="86" w:characterSet="ISO-8859-1"/>
    <w:family w:val="auto"/>
    <w:pitch w:val="default"/>
    <w:sig w:usb0="00000003" w:usb1="288F0000" w:usb2="00000006" w:usb3="00000000" w:csb0="00040001" w:csb1="00000000"/>
  </w:font>
  <w:font w:name="Calibri">
    <w:panose1 w:val="020f0502020204030204"/>
    <w:charset w:val="00" w:characterSet="ISO-8859-1"/>
    <w:family w:val="swiss"/>
    <w:pitch w:val="default"/>
    <w:sig w:usb0="E00002FF" w:usb1="4000ACFF" w:usb2="00000001" w:usb3="00000000" w:csb0="2000019F" w:csb1="00000000"/>
  </w:font>
  <w:font w:name="黑体">
    <w:panose1 w:val="02010609060101010101"/>
    <w:charset w:val="86" w:characterSet="ISO-8859-1"/>
    <w:family w:val="auto"/>
    <w:pitch w:val="default"/>
    <w:sig w:usb0="800002BF" w:usb1="38CF7CFA" w:usb2="00000016" w:usb3="00000000" w:csb0="00040001" w:csb1="00000000"/>
  </w:font>
</w:fonts>
</file>

<file path=word/numbering.xml><?xml version="1.0" encoding="utf-8"?>
<w:numbering xmlns:w="http://schemas.openxmlformats.org/wordprocessingml/2006/main">
  <w:abstractNum w:abstractNumId="0">
    <w:lvl w:ilvl="5">
      <w:start w:val="1"/>
      <w:numFmt w:val="lowerRoman"/>
      <w:lvlText w:val="%6."/>
      <w:lvlJc w:val="left"/>
      <w:pPr>
        <w:ind w:left="2436" w:hanging="336"/>
      </w:pPr>
    </w:lvl>
    <w:lvl w:ilvl="4">
      <w:start w:val="1"/>
      <w:numFmt w:val="lowerLetter"/>
      <w:lvlText w:val="%5."/>
      <w:lvlJc w:val="left"/>
      <w:pPr>
        <w:ind w:left="2016" w:hanging="336"/>
      </w:pPr>
    </w:lvl>
    <w:lvl w:ilvl="6">
      <w:start w:val="1"/>
      <w:numFmt w:val="decimal"/>
      <w:lvlText w:val="%7."/>
      <w:lvlJc w:val="left"/>
      <w:pPr>
        <w:ind w:left="2856" w:hanging="336"/>
      </w:pPr>
    </w:lvl>
    <w:lvl w:ilvl="0">
      <w:start w:val="1"/>
      <w:numFmt w:val="decimal"/>
      <w:lvlText w:val="%1."/>
      <w:lvlJc w:val="left"/>
      <w:pPr>
        <w:ind w:left="336" w:hanging="336" w:firstLine="0"/>
      </w:pPr>
      <w:rPr>
        <w:rFonts w:hint="default" w:ascii="" w:hAnsi="" w:cs=""/>
      </w:rPr>
    </w:lvl>
    <w:lvl w:ilvl="7">
      <w:start w:val="1"/>
      <w:numFmt w:val="lowerLetter"/>
      <w:lvlText w:val="%8."/>
      <w:lvlJc w:val="left"/>
      <w:pPr>
        <w:ind w:left="3276" w:hanging="336"/>
      </w:pPr>
    </w:lvl>
    <w:lvl w:ilvl="8">
      <w:start w:val="1"/>
      <w:numFmt w:val="lowerRoman"/>
      <w:lvlText w:val="%9."/>
      <w:lvlJc w:val="left"/>
      <w:pPr>
        <w:ind w:left="3696" w:hanging="336"/>
      </w:pPr>
    </w:lvl>
    <w:lvl w:ilvl="2">
      <w:start w:val="1"/>
      <w:numFmt w:val="lowerRoman"/>
      <w:lvlText w:val="%3."/>
      <w:lvlJc w:val="left"/>
      <w:pPr>
        <w:ind w:left="1176" w:hanging="336"/>
      </w:pPr>
    </w:lvl>
    <w:lvl w:ilvl="3">
      <w:start w:val="1"/>
      <w:numFmt w:val="decimal"/>
      <w:lvlText w:val="%4."/>
      <w:lvlJc w:val="left"/>
      <w:pPr>
        <w:ind w:left="1596" w:hanging="336"/>
      </w:pPr>
    </w:lvl>
    <w:lvl w:ilvl="1">
      <w:start w:val="1"/>
      <w:numFmt w:val="lowerLetter"/>
      <w:lvlText w:val="%2."/>
      <w:lvlJc w:val="left"/>
      <w:pPr>
        <w:ind w:left="756" w:hanging="336"/>
      </w:pPr>
    </w:lvl>
  </w:abstractNum>
  <w:abstractNum w:abstractNumId="1">
    <w:lvl w:ilvl="4">
      <w:start w:val="1"/>
      <w:numFmt w:val="lowerLetter"/>
      <w:lvlText w:val="%5."/>
      <w:lvlJc w:val="left"/>
      <w:pPr>
        <w:ind w:left="2571" w:hanging="336"/>
      </w:pPr>
    </w:lvl>
    <w:lvl w:ilvl="1">
      <w:start w:val="1"/>
      <w:numFmt w:val="lowerLetter"/>
      <w:lvlText w:val="%2."/>
      <w:lvlJc w:val="left"/>
      <w:pPr>
        <w:ind w:left="1311" w:hanging="336"/>
      </w:pPr>
    </w:lvl>
    <w:lvl w:ilvl="8">
      <w:start w:val="1"/>
      <w:numFmt w:val="lowerRoman"/>
      <w:lvlText w:val="%9."/>
      <w:lvlJc w:val="left"/>
      <w:pPr>
        <w:ind w:left="4251" w:hanging="336"/>
      </w:pPr>
    </w:lvl>
    <w:lvl w:ilvl="7">
      <w:start w:val="1"/>
      <w:numFmt w:val="lowerLetter"/>
      <w:lvlText w:val="%8."/>
      <w:lvlJc w:val="left"/>
      <w:pPr>
        <w:ind w:left="3831" w:hanging="336"/>
      </w:pPr>
    </w:lvl>
    <w:lvl w:ilvl="2">
      <w:start w:val="1"/>
      <w:numFmt w:val="lowerRoman"/>
      <w:lvlText w:val="%3."/>
      <w:lvlJc w:val="left"/>
      <w:pPr>
        <w:ind w:left="1731" w:hanging="336"/>
      </w:pPr>
    </w:lvl>
    <w:lvl w:ilvl="3">
      <w:start w:val="1"/>
      <w:numFmt w:val="decimal"/>
      <w:lvlText w:val="%4."/>
      <w:lvlJc w:val="left"/>
      <w:pPr>
        <w:ind w:left="2151" w:hanging="336"/>
      </w:pPr>
    </w:lvl>
    <w:lvl w:ilvl="6">
      <w:start w:val="1"/>
      <w:numFmt w:val="decimal"/>
      <w:lvlText w:val="%7."/>
      <w:lvlJc w:val="left"/>
      <w:pPr>
        <w:ind w:left="3411" w:hanging="336"/>
      </w:pPr>
    </w:lvl>
    <w:lvl w:ilvl="0">
      <w:start w:val="3"/>
      <w:numFmt w:val="decimal"/>
      <w:lvlText w:val="%1."/>
      <w:lvlJc w:val="left"/>
      <w:pPr>
        <w:ind w:left="891" w:hanging="336" w:firstLine="0"/>
      </w:pPr>
      <w:rPr>
        <w:rFonts w:hint="default" w:ascii="" w:hAnsi="" w:cs=""/>
      </w:rPr>
    </w:lvl>
    <w:lvl w:ilvl="5">
      <w:start w:val="1"/>
      <w:numFmt w:val="lowerRoman"/>
      <w:lvlText w:val="%6."/>
      <w:lvlJc w:val="left"/>
      <w:pPr>
        <w:ind w:left="2991" w:hanging="336"/>
      </w:pPr>
    </w:lvl>
  </w:abstractNum>
  <w:num w:numId="1">
    <w:abstractNumId w:val="1"/>
  </w:num>
  <w:num w:numId="2">
    <w:abstractNumId w:val="0"/>
  </w:num>
</w:numbering>
</file>

<file path=word/settings.xml><?xml version="1.0" encoding="utf-8"?>
<w:settings xmlns:w="http://schemas.openxmlformats.org/wordprocessingml/2006/main">
  <w:zoom w:percent="147"/>
  <w:stylePaneFormatFilter/>
  <w:defaultTabStop w:val="420"/>
  <w:displayHorizontalDrawingGridEvery w:val="1"/>
  <w:displayVerticalDrawingGridEvery w:val="1"/>
  <w:noPunctuationKerning w:val="1"/>
  <w:characterSpacingControl w:val="compressPunctuation"/>
  <w:footnotePr/>
  <w:compat>
    <w:balanceSingleByteDoubleByteWidth w:val="1"/>
    <w:doNotLeaveBackslashAlone w:val="1"/>
    <w:ulTrailSpace w:val="1"/>
    <w:doNotExpandShiftReturn w:val="1"/>
    <w:adjustLineHeightInTable w:val="1"/>
    <w:doNotWrapTextWithPunct w:val="1"/>
    <w:doNotUseEastAsianBreakRules w:val="1"/>
    <w:useNormalStyleForList w:val="1"/>
    <w:doNotUseIndentAsNumberingTabStop w:val="1"/>
    <w:useAltKinsokuLineBreakRules w:val="1"/>
    <w:allowSpaceOfSameStyleInTable w:val="1"/>
    <w:doNotSuppressIndentation w:val="1"/>
    <w:doNotAutofitConstrainedTables w:val="1"/>
    <w:autofitToFirstFixedWidthCell w:val="1"/>
    <w:displayHangulFixedWidth w:val="1"/>
    <w:splitPgBreakAndParaMark w:val="1"/>
    <w:doNotVertAlignCellWithSp w:val="1"/>
    <w:doNotBreakConstrainedForcedTable w:val="1"/>
    <w:doNotVertAlignInTxbx w:val="1"/>
    <w:useAnsiKerningPairs w:val="1"/>
    <w:cachedColBalance w:val="1"/>
    <w:compatSetting w:name="compatibilityMode" w:uri="http://schemas.microsoft.com/office/word" w:val="11"/>
  </w:compat>
  <w:rsids/>
</w:settings>
</file>

<file path=word/styles.xml><?xml version="1.0" encoding="utf-8"?>
<w:styles xmlns:w="http://schemas.openxmlformats.org/wordprocessingml/2006/main">
  <w:docDefaults>
    <w:rPrDefault>
      <w:rPr>
        <w:rFonts w:ascii="Times New Roman" w:hAnsi="Times New Roman" w:eastAsia="宋体" w:cs="Times New Roman"/>
        <w:lang w:val="en-US"/>
      </w:rPr>
    </w:rPrDefault>
    <w:pPrDefault/>
  </w:docDefaults>
  <w:style w:type="paragraph" w:styleId="000006">
    <w:name w:val="heading 2"/>
    <w:basedOn w:val="000003"/>
    <w:next w:val="000003"/>
    <w:link w:val="000003"/>
    <w:unhideWhenUsed w:val="1"/>
    <w:qFormat w:val="1"/>
    <w:pPr>
      <w:spacing w:before="100" w:beforeAutospacing="1" w:after="100" w:afterAutospacing="1"/>
      <w:jc w:val="left"/>
      <w:outlineLvl w:val="1"/>
    </w:pPr>
    <w:rPr>
      <w:rFonts w:hint="eastAsia" w:ascii="宋体" w:hAnsi="宋体" w:eastAsia="宋体" w:cs="宋体"/>
      <w:b w:val="1"/>
      <w:bCs w:val="1"/>
      <w:kern w:val="0"/>
      <w:sz w:val="36"/>
      <w:szCs w:val="36"/>
      <w:lang w:val="en-US" w:eastAsia="zh-CN" w:bidi="ar"/>
    </w:rPr>
  </w:style>
  <w:style w:type="character" w:styleId="000007">
    <w:name w:val="Strong"/>
    <w:basedOn w:val="000002"/>
    <w:next w:val="000007"/>
    <w:link w:val="000003"/>
    <w:qFormat w:val="1"/>
    <w:rPr>
      <w:b w:val="1"/>
    </w:rPr>
  </w:style>
  <w:style w:type="paragraph" w:styleId="000005">
    <w:name w:val="Normal (Web)"/>
    <w:basedOn w:val="000003"/>
    <w:next w:val="000005"/>
    <w:link w:val="000003"/>
    <w:pPr>
      <w:spacing w:before="100" w:beforeAutospacing="1" w:after="100" w:afterAutospacing="1"/>
      <w:ind w:left="0" w:right="0"/>
      <w:jc w:val="left"/>
    </w:pPr>
    <w:rPr>
      <w:kern w:val="0"/>
      <w:sz w:val="24"/>
      <w:lang w:val="en-US" w:eastAsia="zh-CN" w:bidi="ar"/>
    </w:rPr>
  </w:style>
  <w:style w:type="table" w:styleId="000008">
    <w:name w:val="Normal Table"/>
    <w:next w:val="000008"/>
    <w:link w:val="000003"/>
    <w:semiHidden w:val="1"/>
    <w:qFormat w:val="1"/>
  </w:style>
  <w:style w:type="paragraph" w:styleId="000003">
    <w:name w:val="Normal"/>
    <w:aliases w:val="正文"/>
    <w:next w:val="000003"/>
    <w:link w:val="000003"/>
    <w:qFormat w:val="1"/>
    <w:pPr>
      <w:widowControl w:val="0"/>
      <w:jc w:val="both"/>
    </w:pPr>
    <w:rPr>
      <w:rFonts w:ascii="Calibri" w:hAnsi="Calibri" w:eastAsia="宋体" w:cs="Times New Roman"/>
      <w:kern w:val="2"/>
      <w:sz w:val="21"/>
      <w:szCs w:val="24"/>
      <w:lang w:val="en-US" w:eastAsia="zh-CN" w:bidi="ar-SA"/>
    </w:rPr>
  </w:style>
  <w:style w:type="character" w:styleId="000002">
    <w:name w:val="Default Paragraph Font"/>
    <w:next w:val="000002"/>
    <w:link w:val="000003"/>
    <w:semiHidden w:val="1"/>
  </w:style>
  <w:style w:type="character" w:styleId="000001">
    <w:name w:val="Hyperlink"/>
    <w:basedOn w:val="000002"/>
    <w:next w:val="000001"/>
    <w:link w:val="000003"/>
    <w:rPr>
      <w:color w:val="0000ff"/>
      <w:u w:val="single"/>
    </w:rPr>
  </w:style>
  <w:style w:type="paragraph" w:styleId="000004">
    <w:name w:val="heading 1"/>
    <w:basedOn w:val="000003"/>
    <w:next w:val="000003"/>
    <w:link w:val="000003"/>
    <w:qFormat w:val="1"/>
    <w:pPr>
      <w:spacing w:before="100" w:beforeAutospacing="1" w:after="100" w:afterAutospacing="1"/>
      <w:jc w:val="left"/>
      <w:outlineLvl w:val="0"/>
    </w:pPr>
    <w:rPr>
      <w:rFonts w:hint="eastAsia" w:ascii="宋体" w:hAnsi="宋体" w:eastAsia="宋体" w:cs="宋体"/>
      <w:b w:val="1"/>
      <w:bCs w:val="1"/>
      <w:kern w:val="44"/>
      <w:sz w:val="48"/>
      <w:szCs w:val="48"/>
      <w:lang w:val="en-US" w:eastAsia="zh-CN" w:bidi="ar"/>
    </w:rPr>
  </w:style>
</w:styles>
</file>

<file path=word/_rels/document.xml.rels><?xml version="1.0" encoding="UTF-8" standalone="yes"?><Relationships xmlns="http://schemas.openxmlformats.org/package/2006/relationships"><Relationship Id="rId0" Type="http://schemas.openxmlformats.org/officeDocument/2006/relationships/styles" Target="styles.xml" /><Relationship Id="rId3" Type="http://schemas.openxmlformats.org/officeDocument/2006/relationships/numbering" Target="numbering.xml" /><Relationship Id="rId1" Type="http://schemas.openxmlformats.org/officeDocument/2006/relationships/settings" Target="settings.xml" /><Relationship Id="rId2"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Application>Tencent office</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2026-09-14T09:38:53Z</dcterms:created>
  <dcterms:modified xsi:type="dcterms:W3CDTF">2026-09-14T09:38:53Z</dcterms:modified>
</cp:coreProperties>
</file>